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ED685" w14:textId="407D76C3" w:rsidR="005A0734" w:rsidRDefault="003732FF" w:rsidP="00DF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ED9AA" w14:textId="77777777" w:rsidR="001D40CC" w:rsidRPr="0066624F" w:rsidRDefault="001D40CC" w:rsidP="001D40CC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24F"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 wp14:anchorId="39E3855F" wp14:editId="68806A0C">
            <wp:extent cx="457200" cy="501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1340F" w14:textId="77777777" w:rsidR="001D40CC" w:rsidRPr="003174E8" w:rsidRDefault="001D40CC" w:rsidP="001D40C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174E8">
        <w:rPr>
          <w:rFonts w:ascii="Times New Roman" w:hAnsi="Times New Roman" w:cs="Times New Roman"/>
          <w:sz w:val="36"/>
          <w:szCs w:val="36"/>
        </w:rPr>
        <w:t>TRIBUNALE di GENOVA</w:t>
      </w:r>
    </w:p>
    <w:p w14:paraId="7AE71377" w14:textId="77777777" w:rsidR="001D40CC" w:rsidRPr="003174E8" w:rsidRDefault="001D40CC" w:rsidP="001D40C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174E8">
        <w:rPr>
          <w:rFonts w:ascii="Times New Roman" w:hAnsi="Times New Roman" w:cs="Times New Roman"/>
          <w:sz w:val="36"/>
          <w:szCs w:val="36"/>
        </w:rPr>
        <w:t>Sezione VII Civile – Fallimentare</w:t>
      </w:r>
    </w:p>
    <w:p w14:paraId="0DE2AB5A" w14:textId="77777777" w:rsidR="001D40CC" w:rsidRPr="0066624F" w:rsidRDefault="001D40CC" w:rsidP="001D40CC">
      <w:pPr>
        <w:spacing w:after="12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624F">
        <w:rPr>
          <w:rFonts w:ascii="Times New Roman" w:hAnsi="Times New Roman" w:cs="Times New Roman"/>
          <w:i/>
          <w:sz w:val="28"/>
          <w:szCs w:val="28"/>
        </w:rPr>
        <w:t>Il Presidente di Sezione</w:t>
      </w:r>
    </w:p>
    <w:p w14:paraId="4BD45D8F" w14:textId="77777777" w:rsidR="001D40CC" w:rsidRDefault="001D40CC" w:rsidP="001D40C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Ai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sigg.ri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Delegati alle vendite</w:t>
      </w:r>
    </w:p>
    <w:p w14:paraId="2D1603D4" w14:textId="77777777" w:rsidR="001D40CC" w:rsidRDefault="001D40CC" w:rsidP="001D40C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via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Fallco-Telegram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e Ordini Professionali)</w:t>
      </w:r>
    </w:p>
    <w:p w14:paraId="409D9D6E" w14:textId="77777777" w:rsidR="001D40CC" w:rsidRPr="0066624F" w:rsidRDefault="001D40CC" w:rsidP="001D4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</w:t>
      </w:r>
      <w:proofErr w:type="gramStart"/>
      <w:r w:rsidRPr="0066624F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66624F">
        <w:rPr>
          <w:rFonts w:ascii="Times New Roman" w:hAnsi="Times New Roman" w:cs="Times New Roman"/>
          <w:sz w:val="28"/>
          <w:szCs w:val="28"/>
        </w:rPr>
        <w:t>, per conoscenza:</w:t>
      </w:r>
    </w:p>
    <w:p w14:paraId="79AD4E63" w14:textId="77777777" w:rsidR="001D40CC" w:rsidRDefault="001D40CC" w:rsidP="001D4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6624F">
        <w:rPr>
          <w:rFonts w:ascii="Times New Roman" w:hAnsi="Times New Roman" w:cs="Times New Roman"/>
          <w:sz w:val="28"/>
          <w:szCs w:val="28"/>
        </w:rPr>
        <w:t>Ai Colleghi Magistrati Togati</w:t>
      </w:r>
    </w:p>
    <w:p w14:paraId="08A52C78" w14:textId="77777777" w:rsidR="001D40CC" w:rsidRPr="0066624F" w:rsidRDefault="001D40CC" w:rsidP="001D4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624F">
        <w:rPr>
          <w:rFonts w:ascii="Times New Roman" w:hAnsi="Times New Roman" w:cs="Times New Roman"/>
          <w:sz w:val="28"/>
          <w:szCs w:val="28"/>
        </w:rPr>
        <w:tab/>
      </w:r>
      <w:r w:rsidRPr="006662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6624F">
        <w:rPr>
          <w:rFonts w:ascii="Times New Roman" w:hAnsi="Times New Roman" w:cs="Times New Roman"/>
          <w:sz w:val="28"/>
          <w:szCs w:val="28"/>
        </w:rPr>
        <w:t xml:space="preserve">Al Dirigente Cancelleria Sezione </w:t>
      </w:r>
      <w:proofErr w:type="gramStart"/>
      <w:r w:rsidRPr="0066624F">
        <w:rPr>
          <w:rFonts w:ascii="Times New Roman" w:hAnsi="Times New Roman" w:cs="Times New Roman"/>
          <w:sz w:val="28"/>
          <w:szCs w:val="28"/>
        </w:rPr>
        <w:t>VII  Civile</w:t>
      </w:r>
      <w:proofErr w:type="gramEnd"/>
    </w:p>
    <w:p w14:paraId="43A7BEDA" w14:textId="77777777" w:rsidR="001D40CC" w:rsidRPr="0066624F" w:rsidRDefault="001D40CC" w:rsidP="001D40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518112" w14:textId="7C477CEA" w:rsidR="001D40CC" w:rsidRPr="00366A48" w:rsidRDefault="001D40CC" w:rsidP="001D40C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66A48">
        <w:rPr>
          <w:rFonts w:ascii="Times New Roman" w:hAnsi="Times New Roman" w:cs="Times New Roman"/>
          <w:b/>
          <w:sz w:val="36"/>
          <w:szCs w:val="36"/>
          <w:u w:val="single"/>
        </w:rPr>
        <w:t xml:space="preserve">DISPOSIZIONE ORGANIZZATIVA n. </w:t>
      </w:r>
      <w:r w:rsidR="003732FF">
        <w:rPr>
          <w:rFonts w:ascii="Times New Roman" w:hAnsi="Times New Roman" w:cs="Times New Roman"/>
          <w:b/>
          <w:sz w:val="36"/>
          <w:szCs w:val="36"/>
          <w:u w:val="single"/>
        </w:rPr>
        <w:t>22/2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021</w:t>
      </w:r>
    </w:p>
    <w:p w14:paraId="72D15B24" w14:textId="42731155" w:rsidR="001D40CC" w:rsidRDefault="001D40CC" w:rsidP="001D40CC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Istruzioni aggiuntive relative alla selezione e gestione dei rapporti bancari- </w:t>
      </w:r>
    </w:p>
    <w:p w14:paraId="734C2E62" w14:textId="77777777" w:rsidR="00BB34ED" w:rsidRDefault="00BB34ED" w:rsidP="00DF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C078B" w14:textId="67A6F3F0" w:rsidR="00BB34ED" w:rsidRDefault="00BB34ED" w:rsidP="001D4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Sono recentemente pervenute alla 7^ Sezione comunicazi</w:t>
      </w:r>
      <w:r w:rsidR="001D40CC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ni da parte dei princip</w:t>
      </w:r>
      <w:r w:rsidR="001D40CC">
        <w:rPr>
          <w:rFonts w:ascii="Times New Roman" w:hAnsi="Times New Roman" w:cs="Times New Roman"/>
          <w:sz w:val="28"/>
          <w:szCs w:val="28"/>
        </w:rPr>
        <w:t xml:space="preserve">ali operatori bancari cittadini </w:t>
      </w:r>
      <w:r>
        <w:rPr>
          <w:rFonts w:ascii="Times New Roman" w:hAnsi="Times New Roman" w:cs="Times New Roman"/>
          <w:sz w:val="28"/>
          <w:szCs w:val="28"/>
        </w:rPr>
        <w:t xml:space="preserve">circa una rivisitazione </w:t>
      </w:r>
      <w:r w:rsidR="001D40CC">
        <w:rPr>
          <w:rFonts w:ascii="Times New Roman" w:hAnsi="Times New Roman" w:cs="Times New Roman"/>
          <w:sz w:val="28"/>
          <w:szCs w:val="28"/>
        </w:rPr>
        <w:t xml:space="preserve">in corso </w:t>
      </w:r>
      <w:r>
        <w:rPr>
          <w:rFonts w:ascii="Times New Roman" w:hAnsi="Times New Roman" w:cs="Times New Roman"/>
          <w:sz w:val="28"/>
          <w:szCs w:val="28"/>
        </w:rPr>
        <w:t>dei costi dei conti correnti bancari necessari per la gestione del</w:t>
      </w:r>
      <w:r w:rsidR="001D40C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procedure espropriative, in par</w:t>
      </w:r>
      <w:r w:rsidR="001D40CC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icolare </w:t>
      </w:r>
      <w:r w:rsidR="001D40CC">
        <w:rPr>
          <w:rFonts w:ascii="Times New Roman" w:hAnsi="Times New Roman" w:cs="Times New Roman"/>
          <w:sz w:val="28"/>
          <w:szCs w:val="28"/>
        </w:rPr>
        <w:t xml:space="preserve">si constata </w:t>
      </w:r>
      <w:proofErr w:type="gramStart"/>
      <w:r w:rsidR="001D40CC">
        <w:rPr>
          <w:rFonts w:ascii="Times New Roman" w:hAnsi="Times New Roman" w:cs="Times New Roman"/>
          <w:sz w:val="28"/>
          <w:szCs w:val="28"/>
        </w:rPr>
        <w:t xml:space="preserve">una </w:t>
      </w:r>
      <w:r>
        <w:rPr>
          <w:rFonts w:ascii="Times New Roman" w:hAnsi="Times New Roman" w:cs="Times New Roman"/>
          <w:sz w:val="28"/>
          <w:szCs w:val="28"/>
        </w:rPr>
        <w:t xml:space="preserve"> nuova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tendenza a richiedere un compenso per la custodia del</w:t>
      </w:r>
      <w:r w:rsidR="001D40C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giacenze </w:t>
      </w:r>
      <w:r w:rsidR="001D40CC">
        <w:rPr>
          <w:rFonts w:ascii="Times New Roman" w:hAnsi="Times New Roman" w:cs="Times New Roman"/>
          <w:sz w:val="28"/>
          <w:szCs w:val="28"/>
        </w:rPr>
        <w:t xml:space="preserve">liquide </w:t>
      </w:r>
      <w:r>
        <w:rPr>
          <w:rFonts w:ascii="Times New Roman" w:hAnsi="Times New Roman" w:cs="Times New Roman"/>
          <w:sz w:val="28"/>
          <w:szCs w:val="28"/>
        </w:rPr>
        <w:t>sui conti correnti commisurato all’entità del</w:t>
      </w:r>
      <w:r w:rsidR="001D40C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somme </w:t>
      </w:r>
      <w:r w:rsidR="001D40CC">
        <w:rPr>
          <w:rFonts w:ascii="Times New Roman" w:hAnsi="Times New Roman" w:cs="Times New Roman"/>
          <w:sz w:val="28"/>
          <w:szCs w:val="28"/>
        </w:rPr>
        <w:t xml:space="preserve">di cui le procedure sono titolari </w:t>
      </w:r>
      <w:r>
        <w:rPr>
          <w:rFonts w:ascii="Times New Roman" w:hAnsi="Times New Roman" w:cs="Times New Roman"/>
          <w:sz w:val="28"/>
          <w:szCs w:val="28"/>
        </w:rPr>
        <w:t>ed al periodo di giacenza.</w:t>
      </w:r>
    </w:p>
    <w:p w14:paraId="795BEC2E" w14:textId="4E46301D" w:rsidR="00BB34ED" w:rsidRDefault="00BB34ED" w:rsidP="001D4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Nell’impossibilità di condurre in tempi brevi un approfondito monitorag</w:t>
      </w:r>
      <w:r w:rsidR="001D40CC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io e “tabulazione” delle diverse condizioni offerte dalle Banche cittadine che porti </w:t>
      </w:r>
      <w:r w:rsidR="001D40CC">
        <w:rPr>
          <w:rFonts w:ascii="Times New Roman" w:hAnsi="Times New Roman" w:cs="Times New Roman"/>
          <w:sz w:val="28"/>
          <w:szCs w:val="28"/>
        </w:rPr>
        <w:t>alla</w:t>
      </w:r>
      <w:r>
        <w:rPr>
          <w:rFonts w:ascii="Times New Roman" w:hAnsi="Times New Roman" w:cs="Times New Roman"/>
          <w:sz w:val="28"/>
          <w:szCs w:val="28"/>
        </w:rPr>
        <w:t xml:space="preserve"> selezione degli istituti che garan</w:t>
      </w:r>
      <w:r w:rsidR="001D40CC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is</w:t>
      </w:r>
      <w:r w:rsidR="001D40CC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ono le migliori condizioni</w:t>
      </w:r>
      <w:r w:rsidR="001D40CC">
        <w:rPr>
          <w:rFonts w:ascii="Times New Roman" w:hAnsi="Times New Roman" w:cs="Times New Roman"/>
          <w:sz w:val="28"/>
          <w:szCs w:val="28"/>
        </w:rPr>
        <w:t xml:space="preserve"> ed i servizi più adeguati</w:t>
      </w:r>
      <w:r>
        <w:rPr>
          <w:rFonts w:ascii="Times New Roman" w:hAnsi="Times New Roman" w:cs="Times New Roman"/>
          <w:sz w:val="28"/>
          <w:szCs w:val="28"/>
        </w:rPr>
        <w:t>, ed in attesa di poter disporre di strutture e risorse in grado di consentire tale inda</w:t>
      </w:r>
      <w:r w:rsidR="001D40CC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ine e selezione, si informano i delegati alla vendita che i giudici dell</w:t>
      </w:r>
      <w:r w:rsidR="001D40C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esecuzione non procederanno più </w:t>
      </w:r>
      <w:r w:rsidR="001D40CC">
        <w:rPr>
          <w:rFonts w:ascii="Times New Roman" w:hAnsi="Times New Roman" w:cs="Times New Roman"/>
          <w:sz w:val="28"/>
          <w:szCs w:val="28"/>
        </w:rPr>
        <w:t xml:space="preserve">in futuro </w:t>
      </w:r>
      <w:r>
        <w:rPr>
          <w:rFonts w:ascii="Times New Roman" w:hAnsi="Times New Roman" w:cs="Times New Roman"/>
          <w:sz w:val="28"/>
          <w:szCs w:val="28"/>
        </w:rPr>
        <w:t xml:space="preserve">alla designazione delle banche di appoggio per le procedure espropriative, al momento del conferimento della delega di vendita, ma affideranno agli stessi </w:t>
      </w:r>
      <w:r w:rsidR="001D40CC">
        <w:rPr>
          <w:rFonts w:ascii="Times New Roman" w:hAnsi="Times New Roman" w:cs="Times New Roman"/>
          <w:sz w:val="28"/>
          <w:szCs w:val="28"/>
        </w:rPr>
        <w:t xml:space="preserve">delegati </w:t>
      </w:r>
      <w:r>
        <w:rPr>
          <w:rFonts w:ascii="Times New Roman" w:hAnsi="Times New Roman" w:cs="Times New Roman"/>
          <w:sz w:val="28"/>
          <w:szCs w:val="28"/>
        </w:rPr>
        <w:t xml:space="preserve">l’individuazione della banca che pratica </w:t>
      </w:r>
      <w:r w:rsidR="00605F84">
        <w:rPr>
          <w:rFonts w:ascii="Times New Roman" w:hAnsi="Times New Roman" w:cs="Times New Roman"/>
          <w:sz w:val="28"/>
          <w:szCs w:val="28"/>
        </w:rPr>
        <w:t xml:space="preserve">a loro giudizio </w:t>
      </w:r>
      <w:r>
        <w:rPr>
          <w:rFonts w:ascii="Times New Roman" w:hAnsi="Times New Roman" w:cs="Times New Roman"/>
          <w:sz w:val="28"/>
          <w:szCs w:val="28"/>
        </w:rPr>
        <w:t xml:space="preserve">le condizioni migliori e offre i servizi più adeguati per la singola procedura. </w:t>
      </w:r>
    </w:p>
    <w:p w14:paraId="5EBC14A3" w14:textId="6F7C424F" w:rsidR="00711E05" w:rsidRDefault="00BB34ED" w:rsidP="001D4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1D40C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tali condizioni e servizi, i deleg</w:t>
      </w:r>
      <w:r w:rsidR="001D40CC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ti forniranno </w:t>
      </w:r>
      <w:r w:rsidR="001D40CC">
        <w:rPr>
          <w:rFonts w:ascii="Times New Roman" w:hAnsi="Times New Roman" w:cs="Times New Roman"/>
          <w:sz w:val="28"/>
          <w:szCs w:val="28"/>
        </w:rPr>
        <w:t xml:space="preserve">semplice </w:t>
      </w:r>
      <w:r>
        <w:rPr>
          <w:rFonts w:ascii="Times New Roman" w:hAnsi="Times New Roman" w:cs="Times New Roman"/>
          <w:sz w:val="28"/>
          <w:szCs w:val="28"/>
        </w:rPr>
        <w:t>informativa scritta via PCT</w:t>
      </w:r>
      <w:r w:rsidR="001D40CC">
        <w:rPr>
          <w:rFonts w:ascii="Times New Roman" w:hAnsi="Times New Roman" w:cs="Times New Roman"/>
          <w:sz w:val="28"/>
          <w:szCs w:val="28"/>
        </w:rPr>
        <w:t>, denominata “</w:t>
      </w:r>
      <w:r w:rsidR="001D40CC" w:rsidRPr="00605F84">
        <w:rPr>
          <w:rFonts w:ascii="Times New Roman" w:hAnsi="Times New Roman" w:cs="Times New Roman"/>
          <w:b/>
          <w:sz w:val="28"/>
          <w:szCs w:val="28"/>
          <w:u w:val="single"/>
        </w:rPr>
        <w:t>Informativa sui servizi bancari della procedura</w:t>
      </w:r>
      <w:proofErr w:type="gramStart"/>
      <w:r w:rsidR="001D40CC">
        <w:rPr>
          <w:rFonts w:ascii="Times New Roman" w:hAnsi="Times New Roman" w:cs="Times New Roman"/>
          <w:sz w:val="28"/>
          <w:szCs w:val="28"/>
        </w:rPr>
        <w:t xml:space="preserve">”, </w:t>
      </w:r>
      <w:r>
        <w:rPr>
          <w:rFonts w:ascii="Times New Roman" w:hAnsi="Times New Roman" w:cs="Times New Roman"/>
          <w:sz w:val="28"/>
          <w:szCs w:val="28"/>
        </w:rPr>
        <w:t xml:space="preserve"> che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 magistrati della Sezione potranno eventualmente disattendere, nel caso si constatino condizi</w:t>
      </w:r>
      <w:r w:rsidR="001D40CC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ni fuori mercato</w:t>
      </w:r>
      <w:r w:rsidR="00711E05">
        <w:rPr>
          <w:rFonts w:ascii="Times New Roman" w:hAnsi="Times New Roman" w:cs="Times New Roman"/>
          <w:sz w:val="28"/>
          <w:szCs w:val="28"/>
        </w:rPr>
        <w:t xml:space="preserve"> e/o incongru</w:t>
      </w:r>
      <w:r w:rsidR="001D40CC">
        <w:rPr>
          <w:rFonts w:ascii="Times New Roman" w:hAnsi="Times New Roman" w:cs="Times New Roman"/>
          <w:sz w:val="28"/>
          <w:szCs w:val="28"/>
        </w:rPr>
        <w:t>i</w:t>
      </w:r>
      <w:r w:rsidR="00711E05">
        <w:rPr>
          <w:rFonts w:ascii="Times New Roman" w:hAnsi="Times New Roman" w:cs="Times New Roman"/>
          <w:sz w:val="28"/>
          <w:szCs w:val="28"/>
        </w:rPr>
        <w:t xml:space="preserve"> rispetto alla natura della singola espropriazione.</w:t>
      </w:r>
    </w:p>
    <w:p w14:paraId="73E61494" w14:textId="3789D7C5" w:rsidR="00711E05" w:rsidRDefault="00711E05" w:rsidP="001D4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L’odierna comunicazione </w:t>
      </w:r>
      <w:proofErr w:type="gramStart"/>
      <w:r w:rsidR="001D40CC">
        <w:rPr>
          <w:rFonts w:ascii="Times New Roman" w:hAnsi="Times New Roman" w:cs="Times New Roman"/>
          <w:sz w:val="28"/>
          <w:szCs w:val="28"/>
        </w:rPr>
        <w:t xml:space="preserve">costituisce </w:t>
      </w:r>
      <w:r>
        <w:rPr>
          <w:rFonts w:ascii="Times New Roman" w:hAnsi="Times New Roman" w:cs="Times New Roman"/>
          <w:sz w:val="28"/>
          <w:szCs w:val="28"/>
        </w:rPr>
        <w:t xml:space="preserve"> valida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occasione per ram</w:t>
      </w:r>
      <w:r w:rsidR="001D40CC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entare ai professionisti incaricati di procedere quanto prima, una volta ricevuto il saldo prezzo</w:t>
      </w:r>
      <w:r w:rsidR="001D40CC">
        <w:rPr>
          <w:rFonts w:ascii="Times New Roman" w:hAnsi="Times New Roman" w:cs="Times New Roman"/>
          <w:sz w:val="28"/>
          <w:szCs w:val="28"/>
        </w:rPr>
        <w:t xml:space="preserve"> di aggiudicazione</w:t>
      </w:r>
      <w:r>
        <w:rPr>
          <w:rFonts w:ascii="Times New Roman" w:hAnsi="Times New Roman" w:cs="Times New Roman"/>
          <w:sz w:val="28"/>
          <w:szCs w:val="28"/>
        </w:rPr>
        <w:t>, agli adempimenti previsti nelle is</w:t>
      </w:r>
      <w:r w:rsidR="001D40CC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ruz</w:t>
      </w:r>
      <w:r w:rsidR="001D40C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oni già impar</w:t>
      </w:r>
      <w:r w:rsidR="001D40CC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ite per l’attuazione dell’art. 41 T.U.B. e per la sollecita distribuzione del ricavato ai c</w:t>
      </w:r>
      <w:r w:rsidR="001D40CC">
        <w:rPr>
          <w:rFonts w:ascii="Times New Roman" w:hAnsi="Times New Roman" w:cs="Times New Roman"/>
          <w:sz w:val="28"/>
          <w:szCs w:val="28"/>
        </w:rPr>
        <w:t>re</w:t>
      </w:r>
      <w:r>
        <w:rPr>
          <w:rFonts w:ascii="Times New Roman" w:hAnsi="Times New Roman" w:cs="Times New Roman"/>
          <w:sz w:val="28"/>
          <w:szCs w:val="28"/>
        </w:rPr>
        <w:t>ditori, in modo tale da contenere al minimo event</w:t>
      </w:r>
      <w:r w:rsidR="001D40CC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ali commissioni sulle giacenze di </w:t>
      </w:r>
      <w:r w:rsidR="001D40CC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onto corrente.</w:t>
      </w:r>
    </w:p>
    <w:p w14:paraId="75B0ACDC" w14:textId="77777777" w:rsidR="00605F84" w:rsidRDefault="00605F84" w:rsidP="001D4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C91EC8" w14:textId="1F61CC0C" w:rsidR="001D40CC" w:rsidRDefault="00711E05" w:rsidP="001D4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quanto ovvio, nulla muta relativamente all’individuazi</w:t>
      </w:r>
      <w:r w:rsidR="001D40CC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ne del</w:t>
      </w:r>
      <w:r w:rsidR="001D40C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banche di appoggio del</w:t>
      </w:r>
      <w:r w:rsidR="001D40C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procedure fallimentari, che continua ad essere onere e responsabilità dei curatori i quali, come d’abitudine,  danno comunicazione della scelta al giudice delegato</w:t>
      </w:r>
      <w:r w:rsidR="001D40CC">
        <w:rPr>
          <w:rFonts w:ascii="Times New Roman" w:hAnsi="Times New Roman" w:cs="Times New Roman"/>
          <w:sz w:val="28"/>
          <w:szCs w:val="28"/>
        </w:rPr>
        <w:t>; pur se rimane valida anche per loro la richiesta di selezionare i gestori bancari che offrono le migliori condizioni economiche ed operative e, soprattutto e nel contesto economico descritto, l’indicazione operativa della Sezione di non lasciare a lungo giacenti disponibilità liquide utilizzabili per i riparti parziali e  finali.</w:t>
      </w:r>
    </w:p>
    <w:p w14:paraId="05DDB7F0" w14:textId="5DA55F64" w:rsidR="001D40CC" w:rsidRDefault="001D40CC" w:rsidP="001D40C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Genova, </w:t>
      </w:r>
      <w:r w:rsidR="003732FF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novembre 2021</w:t>
      </w:r>
    </w:p>
    <w:p w14:paraId="2FAF23F5" w14:textId="77777777" w:rsidR="001D40CC" w:rsidRDefault="00711E05" w:rsidP="001D40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4ED">
        <w:rPr>
          <w:rFonts w:ascii="Times New Roman" w:hAnsi="Times New Roman" w:cs="Times New Roman"/>
          <w:sz w:val="28"/>
          <w:szCs w:val="28"/>
        </w:rPr>
        <w:t xml:space="preserve"> </w:t>
      </w:r>
      <w:r w:rsidR="001D40CC" w:rsidRPr="00F56C97">
        <w:rPr>
          <w:rFonts w:ascii="Times New Roman" w:hAnsi="Times New Roman"/>
          <w:sz w:val="24"/>
          <w:szCs w:val="24"/>
        </w:rPr>
        <w:t>Il Presidente</w:t>
      </w:r>
      <w:r w:rsidR="001D40CC">
        <w:rPr>
          <w:rFonts w:ascii="Times New Roman" w:hAnsi="Times New Roman"/>
          <w:sz w:val="24"/>
          <w:szCs w:val="24"/>
        </w:rPr>
        <w:t xml:space="preserve"> di Sezione</w:t>
      </w:r>
    </w:p>
    <w:p w14:paraId="6D034598" w14:textId="59366409" w:rsidR="001D40CC" w:rsidRDefault="001D40CC" w:rsidP="001D40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Dr. Roberto Braccialini</w:t>
      </w:r>
    </w:p>
    <w:p w14:paraId="53F192C0" w14:textId="0CBBB8EB" w:rsidR="00BB34ED" w:rsidRPr="00DF57C3" w:rsidRDefault="00605F84" w:rsidP="00DF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t xml:space="preserve"> </w:t>
      </w:r>
      <w:r w:rsidR="001D40CC"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0250E795" wp14:editId="74D0E052">
            <wp:extent cx="1438275" cy="8477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lunga 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34ED" w:rsidRPr="00DF57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AE"/>
    <w:rsid w:val="00156AAE"/>
    <w:rsid w:val="001D40CC"/>
    <w:rsid w:val="003732FF"/>
    <w:rsid w:val="00605F84"/>
    <w:rsid w:val="00711E05"/>
    <w:rsid w:val="00BA695C"/>
    <w:rsid w:val="00BB34ED"/>
    <w:rsid w:val="00DF57C3"/>
    <w:rsid w:val="00F8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475F"/>
  <w15:chartTrackingRefBased/>
  <w15:docId w15:val="{3E661640-570A-4EEC-9DBC-C772B158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5F1A0F5703A5469F075BDCB92EF10A" ma:contentTypeVersion="13" ma:contentTypeDescription="Creare un nuovo documento." ma:contentTypeScope="" ma:versionID="070bcc82425329300d89be2af36c23f7">
  <xsd:schema xmlns:xsd="http://www.w3.org/2001/XMLSchema" xmlns:xs="http://www.w3.org/2001/XMLSchema" xmlns:p="http://schemas.microsoft.com/office/2006/metadata/properties" xmlns:ns3="134d8ec4-6613-4ee5-934f-c7c51dc16084" xmlns:ns4="de151259-5438-4e04-83fa-f635bccd9143" targetNamespace="http://schemas.microsoft.com/office/2006/metadata/properties" ma:root="true" ma:fieldsID="baaf3e6aea43626dd855f1452df69e03" ns3:_="" ns4:_="">
    <xsd:import namespace="134d8ec4-6613-4ee5-934f-c7c51dc16084"/>
    <xsd:import namespace="de151259-5438-4e04-83fa-f635bccd91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d8ec4-6613-4ee5-934f-c7c51dc16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1259-5438-4e04-83fa-f635bccd91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96883-75B0-4A2F-9D58-F5DE53204F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F7CD7C-E0F5-4979-A36E-A197A52F6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0BFA7-20F3-4AA9-B864-6380C45D8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d8ec4-6613-4ee5-934f-c7c51dc16084"/>
    <ds:schemaRef ds:uri="de151259-5438-4e04-83fa-f635bccd9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3</cp:revision>
  <dcterms:created xsi:type="dcterms:W3CDTF">2021-11-03T08:22:00Z</dcterms:created>
  <dcterms:modified xsi:type="dcterms:W3CDTF">2021-11-04T15:01:00Z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0x010100985F1A0F5703A5469F075BDCB92EF10A</vt:lpwstr>
  </property>
</Properties>
</file>